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ANÁLISE DE RISCO DA CONTRATAÇÃO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RISCOS DO PROCESSO DE CONTRATAÇÃO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1-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RISCOS - FASE DE PLANEJAMENTO</w:t>
      </w:r>
      <w:r w:rsidDel="00000000" w:rsidR="00000000" w:rsidRPr="00000000">
        <w:rPr>
          <w:rtl w:val="0"/>
        </w:rPr>
      </w:r>
    </w:p>
    <w:tbl>
      <w:tblPr>
        <w:tblStyle w:val="Table1"/>
        <w:tblW w:w="90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0"/>
        <w:gridCol w:w="1115"/>
        <w:gridCol w:w="2960"/>
        <w:gridCol w:w="3095"/>
        <w:tblGridChange w:id="0">
          <w:tblGrid>
            <w:gridCol w:w="1850"/>
            <w:gridCol w:w="1115"/>
            <w:gridCol w:w="2960"/>
            <w:gridCol w:w="309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Risco 1</w:t>
            </w:r>
          </w:p>
        </w:tc>
        <w:tc>
          <w:tcPr>
            <w:gridSpan w:val="3"/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Deficiência na definição da demanda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Probabilidade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Média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41.73228346456688" w:right="20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before="240" w:line="276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Superdimensionamento ou subdimensionamento da demanda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Preventiva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ind w:left="141.7322834645671" w:right="200" w:hanging="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before="0" w:line="276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Qualificação da equipe de planejamento; conhecimento do escopo.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ind w:left="141.7322834645671" w:right="100" w:hanging="7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Equipe de Planejamento da Contratação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de Contingência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ind w:left="141.7322834645671" w:right="200" w:hanging="75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Restabelecimento da demanda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141.7322834645671" w:right="300" w:hanging="7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Equipe de Planejamento da Contratação</w:t>
            </w:r>
          </w:p>
        </w:tc>
      </w:tr>
    </w:tbl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tbl>
      <w:tblPr>
        <w:tblStyle w:val="Table2"/>
        <w:tblW w:w="90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10"/>
        <w:gridCol w:w="1115"/>
        <w:gridCol w:w="3065"/>
        <w:gridCol w:w="2945"/>
        <w:tblGridChange w:id="0">
          <w:tblGrid>
            <w:gridCol w:w="1910"/>
            <w:gridCol w:w="1115"/>
            <w:gridCol w:w="3065"/>
            <w:gridCol w:w="294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Risco 2</w:t>
            </w:r>
          </w:p>
        </w:tc>
        <w:tc>
          <w:tcPr>
            <w:gridSpan w:val="3"/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141.73228346456688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Não aprovação do Estudo Técnico ou do Termo de Referência.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Probabilidade: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Baixa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41.73228346456688" w:right="120.70866141732267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Atraso no processo de contratação e, consequentemente, atraso no início da prestação do serviço.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141.73228346456688" w:right="220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Preventiva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ind w:left="283.4645669291342" w:right="200" w:hanging="75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41.73228346456688" w:right="8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Instruir o Estudo Técnico e o Termo de Referência em estrita aderência às disposições dos normativos aplicados à contratação.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283.4645669291342" w:right="100" w:hanging="7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Equipe de Planejamento da Contratação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141.73228346456688" w:right="56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de Contingência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283.4645669291342" w:right="200" w:hanging="75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141.7322834645668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Exposição do arcabouço legal em que a contratação de serviços de limpeza deva seguir.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283.4645669291342" w:right="300" w:hanging="7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Equipe de Planejamento da Contratação</w:t>
            </w:r>
          </w:p>
        </w:tc>
      </w:tr>
    </w:tbl>
    <w:p w:rsidR="00000000" w:rsidDel="00000000" w:rsidP="00000000" w:rsidRDefault="00000000" w:rsidRPr="00000000" w14:paraId="0000003D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RISCOS - FASE DE LICITAÇÃO</w:t>
      </w:r>
      <w:r w:rsidDel="00000000" w:rsidR="00000000" w:rsidRPr="00000000">
        <w:rPr>
          <w:rtl w:val="0"/>
        </w:rPr>
      </w:r>
    </w:p>
    <w:tbl>
      <w:tblPr>
        <w:tblStyle w:val="Table3"/>
        <w:tblW w:w="90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5"/>
        <w:gridCol w:w="1085"/>
        <w:gridCol w:w="3035"/>
        <w:gridCol w:w="3050"/>
        <w:tblGridChange w:id="0">
          <w:tblGrid>
            <w:gridCol w:w="1865"/>
            <w:gridCol w:w="1085"/>
            <w:gridCol w:w="3035"/>
            <w:gridCol w:w="305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Risco 3</w:t>
            </w:r>
          </w:p>
        </w:tc>
        <w:tc>
          <w:tcPr>
            <w:gridSpan w:val="3"/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240" w:line="276" w:lineRule="auto"/>
              <w:ind w:left="141.732283464566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Deficiências do ato convocatório; critérios de julgamento, prazos e sanções, entre outros.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Probabilidade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92d05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Baixa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141.73228346456688" w:right="53.97637795275727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0" w:line="276" w:lineRule="auto"/>
              <w:ind w:left="141.732283464566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Encerramento da Licitação.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Preventiva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ind w:left="283.4645669291342" w:right="200" w:hanging="75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0" w:line="276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Capacitação de servidores; incorporar as atualizações da legislação (acórdãos TCU); Estabelecer rotinas de revisão.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283.4645669291342" w:right="100" w:hanging="7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Equipe de Licitação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de Contingência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ind w:left="283.4645669291342" w:right="200" w:hanging="75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ind w:left="141.732283464566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Suspensão da licitação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283.4645669291342" w:right="300" w:hanging="7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Equipe de Licitação</w:t>
            </w:r>
          </w:p>
        </w:tc>
      </w:tr>
    </w:tbl>
    <w:p w:rsidR="00000000" w:rsidDel="00000000" w:rsidP="00000000" w:rsidRDefault="00000000" w:rsidRPr="00000000" w14:paraId="0000005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5C">
      <w:pPr>
        <w:spacing w:after="240" w:befor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- RISCOS – GESTÃO DO CONTRATO</w:t>
      </w:r>
      <w:r w:rsidDel="00000000" w:rsidR="00000000" w:rsidRPr="00000000">
        <w:rPr>
          <w:rtl w:val="0"/>
        </w:rPr>
      </w:r>
    </w:p>
    <w:tbl>
      <w:tblPr>
        <w:tblStyle w:val="Table4"/>
        <w:tblW w:w="90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50"/>
        <w:gridCol w:w="1115"/>
        <w:gridCol w:w="3005"/>
        <w:gridCol w:w="3065"/>
        <w:tblGridChange w:id="0">
          <w:tblGrid>
            <w:gridCol w:w="1850"/>
            <w:gridCol w:w="1115"/>
            <w:gridCol w:w="3005"/>
            <w:gridCol w:w="306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Risco 4</w:t>
            </w:r>
          </w:p>
        </w:tc>
        <w:tc>
          <w:tcPr>
            <w:gridSpan w:val="3"/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0" w:line="276" w:lineRule="auto"/>
              <w:ind w:left="141.732283464566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Inércia frente a descumprimento de obrigações contratuais. Falha ou omissão no registro dos atos e fatos do contrato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Probabilidade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ind w:left="141.7322834645668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Média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141.73228346456688" w:right="20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before="0" w:line="276" w:lineRule="auto"/>
              <w:ind w:left="141.73228346456688" w:firstLine="0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Deficiência na prestação dos serviços. Prejuízos financeiros a Administração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Preventiva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0" w:lineRule="auto"/>
              <w:ind w:left="141.7322834645671" w:right="2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0" w:lineRule="auto"/>
              <w:ind w:left="141.73228346456688" w:firstLine="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Capacitação de servidores; Conhecimento dos termos contratuais e do serviço a ser executado. Conhecimentos das responsabilidades dos fiscais.</w:t>
            </w:r>
          </w:p>
          <w:p w:rsidR="00000000" w:rsidDel="00000000" w:rsidP="00000000" w:rsidRDefault="00000000" w:rsidRPr="00000000" w14:paraId="0000006E">
            <w:pPr>
              <w:spacing w:before="0" w:lineRule="auto"/>
              <w:ind w:left="141.73228346456688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Estabelecer modelos e rotinas de acompanhamento contratual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before="0" w:lineRule="auto"/>
              <w:ind w:left="141.7322834645671" w:right="10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before="0" w:lineRule="auto"/>
              <w:ind w:left="141.7322834645671" w:right="10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Fiscal técnico e administrativo, Gestor do Contrato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0" w:lineRule="auto"/>
              <w:ind w:left="141.73228346456688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de Contingência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0" w:lineRule="auto"/>
              <w:ind w:left="141.7322834645671" w:right="2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0" w:lineRule="auto"/>
              <w:ind w:left="141.7322834645668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Sanções administrativas. Responsabilização da Gestão e fiscalização contratual.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0" w:lineRule="auto"/>
              <w:ind w:left="141.732283464567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Fiscal técnico e administrativo, Gestor do Contrato</w:t>
            </w:r>
          </w:p>
        </w:tc>
      </w:tr>
    </w:tbl>
    <w:p w:rsidR="00000000" w:rsidDel="00000000" w:rsidP="00000000" w:rsidRDefault="00000000" w:rsidRPr="00000000" w14:paraId="0000007B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tbl>
      <w:tblPr>
        <w:tblStyle w:val="Table5"/>
        <w:tblW w:w="90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5"/>
        <w:gridCol w:w="1055"/>
        <w:gridCol w:w="3050"/>
        <w:gridCol w:w="3065"/>
        <w:tblGridChange w:id="0">
          <w:tblGrid>
            <w:gridCol w:w="1865"/>
            <w:gridCol w:w="1055"/>
            <w:gridCol w:w="3050"/>
            <w:gridCol w:w="306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1" w:space="0" w:sz="6" w:val="single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ind w:left="283.4645669291337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Risco 5</w:t>
            </w:r>
          </w:p>
        </w:tc>
        <w:tc>
          <w:tcPr>
            <w:gridSpan w:val="3"/>
            <w:tcBorders>
              <w:top w:color="000001" w:space="0" w:sz="6" w:val="single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ind w:left="283.4645669291337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Descumprimento das obrigações trabalhistas, previdenciárias e com FGTS da Contratada.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ind w:left="283.46456692913375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Probabilidade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99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ind w:left="141.7322834645671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Alta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283.46456692913375" w:right="20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Dano potencial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="276" w:lineRule="auto"/>
              <w:ind w:left="283.46456692913375" w:firstLine="0"/>
              <w:jc w:val="center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Responsabilização subsidiária da Administração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0" w:lineRule="auto"/>
              <w:ind w:left="283.4645669291337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Preventiva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0" w:lineRule="auto"/>
              <w:ind w:left="141.7322834645671" w:right="2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0" w:lineRule="auto"/>
              <w:ind w:left="283.46456692913375" w:firstLine="0"/>
              <w:jc w:val="both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Capacitação de servidores; Previsão expressa no termo de contrato. Conhecimento dos termos contratuais. Conhecimentos das responsabilidades dos fiscais.</w:t>
            </w:r>
          </w:p>
          <w:p w:rsidR="00000000" w:rsidDel="00000000" w:rsidP="00000000" w:rsidRDefault="00000000" w:rsidRPr="00000000" w14:paraId="0000008D">
            <w:pPr>
              <w:spacing w:before="0" w:lineRule="auto"/>
              <w:ind w:left="283.4645669291337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Estabelecer modelos e rotinas de acompanhamento contratual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0" w:lineRule="auto"/>
              <w:ind w:left="141.7322834645671" w:right="10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Fiscal técnico e administrativo, Gestor do Contrato.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240" w:before="0" w:lineRule="auto"/>
              <w:ind w:left="283.46456692913375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Ação de Contingência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cccccc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40" w:before="0" w:lineRule="auto"/>
              <w:ind w:left="141.7322834645671" w:right="20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1" w:space="0" w:sz="6" w:val="single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40" w:before="0" w:lineRule="auto"/>
              <w:ind w:left="283.4645669291337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Conferência rotineira do cumprimento das obrigações trabalhistas, previdenciárias e com FGTS da Contratada.</w:t>
            </w:r>
          </w:p>
          <w:p w:rsidR="00000000" w:rsidDel="00000000" w:rsidP="00000000" w:rsidRDefault="00000000" w:rsidRPr="00000000" w14:paraId="00000096">
            <w:pPr>
              <w:spacing w:after="240" w:before="0" w:lineRule="auto"/>
              <w:ind w:left="283.4645669291337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Estabelecer modelos e rotinas de acompanhamento contratual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1" w:space="0" w:sz="6" w:val="single"/>
              <w:right w:color="000001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0" w:lineRule="auto"/>
              <w:ind w:left="141.732283464567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Fiscal técnico e administrativo, Gestor do Contrato.</w:t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7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Avaliação Qualitativa dos Riscos:</w:t>
      </w:r>
    </w:p>
    <w:p w:rsidR="00000000" w:rsidDel="00000000" w:rsidP="00000000" w:rsidRDefault="00000000" w:rsidRPr="00000000" w14:paraId="0000009F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tabela a seguir apresenta a Matriz Probabilidade x Impacto, instrumento de apoio para a definição dos critérios de classificação do nível de risco. </w:t>
      </w:r>
    </w:p>
    <w:p w:rsidR="00000000" w:rsidDel="00000000" w:rsidP="00000000" w:rsidRDefault="00000000" w:rsidRPr="00000000" w14:paraId="000000A0">
      <w:pPr>
        <w:keepNext w:val="0"/>
        <w:widowControl w:val="0"/>
        <w:spacing w:line="243.90263557434082" w:lineRule="auto"/>
        <w:ind w:left="1204.0799713134766" w:right="1220.001220703125" w:firstLine="276.480026245117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60.0" w:type="dxa"/>
        <w:jc w:val="left"/>
        <w:tblInd w:w="97.79998779296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5"/>
        <w:gridCol w:w="2520"/>
        <w:gridCol w:w="1140"/>
        <w:gridCol w:w="1260"/>
        <w:gridCol w:w="1230"/>
        <w:gridCol w:w="1230"/>
        <w:gridCol w:w="1305"/>
        <w:tblGridChange w:id="0">
          <w:tblGrid>
            <w:gridCol w:w="375"/>
            <w:gridCol w:w="2520"/>
            <w:gridCol w:w="1140"/>
            <w:gridCol w:w="1260"/>
            <w:gridCol w:w="1230"/>
            <w:gridCol w:w="1230"/>
            <w:gridCol w:w="130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widowControl w:val="0"/>
              <w:spacing w:line="231.23263835906982" w:lineRule="auto"/>
              <w:ind w:left="129.01687622070312" w:right="454.18243408203125" w:hanging="1.195220947265625"/>
              <w:rPr>
                <w:color w:val="00b050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LEGENDA NÍVEL DE  RISCO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widowControl w:val="0"/>
              <w:jc w:val="center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PROBABILIDADE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widowControl w:val="0"/>
              <w:spacing w:line="276" w:lineRule="auto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widowControl w:val="0"/>
              <w:ind w:left="0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1 MUITO BAIXA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widowControl w:val="0"/>
              <w:ind w:left="0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2 BAIXA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widowControl w:val="0"/>
              <w:ind w:left="0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3 MÉDIA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widowControl w:val="0"/>
              <w:ind w:left="0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4 ALTA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widowControl w:val="0"/>
              <w:ind w:left="0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5 MUITO ALTA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widowControl w:val="0"/>
              <w:jc w:val="center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33.20000012715658"/>
                <w:szCs w:val="33.20000012715658"/>
                <w:vertAlign w:val="subscript"/>
                <w:rtl w:val="0"/>
              </w:rPr>
              <w:t xml:space="preserve">IMPACTO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widowControl w:val="0"/>
              <w:ind w:left="118.76647949218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5  MUITO ALTO 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widowControl w:val="0"/>
              <w:ind w:left="119.366455078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  <w:rtl w:val="0"/>
              </w:rPr>
              <w:t xml:space="preserve">5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widowControl w:val="0"/>
              <w:ind w:left="134.512939453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  <w:rtl w:val="0"/>
              </w:rPr>
              <w:t xml:space="preserve">10 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widowControl w:val="0"/>
              <w:ind w:left="134.51232910156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ffc00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ffc000" w:val="clear"/>
                <w:rtl w:val="0"/>
              </w:rPr>
              <w:t xml:space="preserve">15 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widowControl w:val="0"/>
              <w:ind w:left="118.5772705078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ffc00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ffc000" w:val="clear"/>
                <w:rtl w:val="0"/>
              </w:rPr>
              <w:t xml:space="preserve">20 </w:t>
            </w:r>
          </w:p>
        </w:tc>
        <w:tc>
          <w:tcPr>
            <w:shd w:fill="ff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widowControl w:val="0"/>
              <w:ind w:left="118.576660156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red"/>
                <w:rtl w:val="0"/>
              </w:rPr>
              <w:t xml:space="preserve">25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widowControl w:val="0"/>
              <w:spacing w:line="276" w:lineRule="auto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widowControl w:val="0"/>
              <w:ind w:left="112.98965454101562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4 ALTO 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widowControl w:val="0"/>
              <w:ind w:left="113.589782714843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  <w:rtl w:val="0"/>
              </w:rPr>
              <w:t xml:space="preserve">4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widowControl w:val="0"/>
              <w:ind w:left="120.96740722656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  <w:rtl w:val="0"/>
              </w:rPr>
              <w:t xml:space="preserve">8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widowControl w:val="0"/>
              <w:ind w:left="134.51232910156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  <w:rtl w:val="0"/>
              </w:rPr>
              <w:t xml:space="preserve">12 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widowControl w:val="0"/>
              <w:ind w:left="139.4403076171875" w:firstLine="0"/>
              <w:rPr>
                <w:shd w:fill="ffc000" w:val="clear"/>
              </w:rPr>
            </w:pPr>
            <w:r w:rsidDel="00000000" w:rsidR="00000000" w:rsidRPr="00000000">
              <w:rPr>
                <w:shd w:fill="ffc000" w:val="clear"/>
                <w:rtl w:val="0"/>
              </w:rPr>
              <w:t xml:space="preserve">16 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widowControl w:val="0"/>
              <w:ind w:left="118.57666015625" w:firstLine="0"/>
              <w:rPr>
                <w:rFonts w:ascii="Arial" w:cs="Arial" w:eastAsia="Arial" w:hAnsi="Arial"/>
                <w:sz w:val="19.920000076293945"/>
                <w:szCs w:val="19.920000076293945"/>
                <w:shd w:fill="ffc000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19.920000076293945"/>
                <w:szCs w:val="19.920000076293945"/>
                <w:shd w:fill="ffc000" w:val="clear"/>
                <w:rtl w:val="0"/>
              </w:rPr>
              <w:t xml:space="preserve">20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widowControl w:val="0"/>
              <w:spacing w:line="276" w:lineRule="auto"/>
              <w:rPr>
                <w:rFonts w:ascii="Arial" w:cs="Arial" w:eastAsia="Arial" w:hAnsi="Arial"/>
                <w:sz w:val="19.920000076293945"/>
                <w:szCs w:val="19.920000076293945"/>
                <w:shd w:fill="ffc0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widowControl w:val="0"/>
              <w:ind w:left="118.76647949218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3 MÉDIO 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widowControl w:val="0"/>
              <w:ind w:left="119.366455078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  <w:rtl w:val="0"/>
              </w:rPr>
              <w:t xml:space="preserve">3 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widowControl w:val="0"/>
              <w:ind w:left="120.3698730468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  <w:rtl w:val="0"/>
              </w:rPr>
              <w:t xml:space="preserve">6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widowControl w:val="0"/>
              <w:ind w:left="121.16638183593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  <w:rtl w:val="0"/>
              </w:rPr>
              <w:t xml:space="preserve">9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widowControl w:val="0"/>
              <w:ind w:left="134.512939453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  <w:rtl w:val="0"/>
              </w:rPr>
              <w:t xml:space="preserve">12 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widowControl w:val="0"/>
              <w:ind w:left="139.439697265625" w:firstLine="0"/>
              <w:rPr>
                <w:shd w:fill="ffc000" w:val="clear"/>
              </w:rPr>
            </w:pPr>
            <w:r w:rsidDel="00000000" w:rsidR="00000000" w:rsidRPr="00000000">
              <w:rPr>
                <w:shd w:fill="ffc000" w:val="clear"/>
                <w:rtl w:val="0"/>
              </w:rPr>
              <w:t xml:space="preserve">15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widowControl w:val="0"/>
              <w:spacing w:line="276" w:lineRule="auto"/>
              <w:rPr>
                <w:shd w:fill="ffc000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widowControl w:val="0"/>
              <w:ind w:left="116.17691040039062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2 BAIXO 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widowControl w:val="0"/>
              <w:ind w:left="116.77673339843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  <w:rtl w:val="0"/>
              </w:rPr>
              <w:t xml:space="preserve">2 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widowControl w:val="0"/>
              <w:ind w:left="115.39001464843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  <w:rtl w:val="0"/>
              </w:rPr>
              <w:t xml:space="preserve">4 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widowControl w:val="0"/>
              <w:ind w:left="120.3692626953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  <w:rtl w:val="0"/>
              </w:rPr>
              <w:t xml:space="preserve">6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widowControl w:val="0"/>
              <w:ind w:left="120.96740722656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  <w:rtl w:val="0"/>
              </w:rPr>
              <w:t xml:space="preserve">8 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widowControl w:val="0"/>
              <w:ind w:left="134.51232910156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  <w:rtl w:val="0"/>
              </w:rPr>
              <w:t xml:space="preserve">10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widowControl w:val="0"/>
              <w:spacing w:line="276" w:lineRule="auto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widowControl w:val="0"/>
              <w:ind w:left="132.11288452148438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rtl w:val="0"/>
              </w:rPr>
              <w:t xml:space="preserve">1 MUITO BAIXO 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widowControl w:val="0"/>
              <w:ind w:left="132.7130126953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  <w:rtl w:val="0"/>
              </w:rPr>
              <w:t xml:space="preserve">1 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widowControl w:val="0"/>
              <w:ind w:left="118.577270507812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  <w:rtl w:val="0"/>
              </w:rPr>
              <w:t xml:space="preserve">2 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widowControl w:val="0"/>
              <w:ind w:left="121.16638183593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00b050" w:val="clear"/>
                <w:rtl w:val="0"/>
              </w:rPr>
              <w:t xml:space="preserve">3 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widowControl w:val="0"/>
              <w:ind w:left="115.39001464843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  <w:rtl w:val="0"/>
              </w:rPr>
              <w:t xml:space="preserve">4 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widowControl w:val="0"/>
              <w:ind w:left="121.1663818359375" w:firstLine="0"/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19.920000076293945"/>
                <w:szCs w:val="19.920000076293945"/>
                <w:shd w:fill="92d050" w:val="clear"/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0D2">
      <w:pPr>
        <w:keepNext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Matriz de cálculo de Risco, sendo muito alto: &gt;21 a 25; Alto: &gt;13 a 20; Médio: &gt;7 a 12; Baixo: &gt; 4 a 6; Muito Baixo:  1 a 3 </w:t>
      </w:r>
    </w:p>
    <w:p w:rsidR="00000000" w:rsidDel="00000000" w:rsidP="00000000" w:rsidRDefault="00000000" w:rsidRPr="00000000" w14:paraId="000000D3">
      <w:pPr>
        <w:keepNext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widowControl w:val="0"/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produto da probabilidade pelo impacto de cada risco deve se enquadrar em uma região da matriz probabilidade x impacto. Caso o risco enquadre-se na região verde e verde claro, seu nível de risco é entendido respectivamente como muito baixo e baixo, se estiver na região amarela seu nível de risco é considerado médio, se estiver na região alaranjada entende-se como risco alto; e se estiver na região vermelha, entende-se como nível de risco muito alto. Nos casos de riscos classificados como médio, alto e muito alto deve-se adotar medidas preventivas previstas.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ANÁLISE FINAL:</w:t>
      </w:r>
    </w:p>
    <w:p w:rsidR="00000000" w:rsidDel="00000000" w:rsidP="00000000" w:rsidRDefault="00000000" w:rsidRPr="00000000" w14:paraId="000000D6">
      <w:pP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Através da matriz, percebe-se que os Riscos 1, 4, 5 poderão comprometer o resultado da contratação. Desse modo esse risco deve ser mitigado por meio de ações de prevenção registradas nesse processo administrativo. Os Riscos 2 e 3 devem ser aceitos, providenciando-se as medidas de mitigação. (AVALIAR CASO A CASO)</w:t>
      </w:r>
    </w:p>
    <w:p w:rsidR="00000000" w:rsidDel="00000000" w:rsidP="00000000" w:rsidRDefault="00000000" w:rsidRPr="00000000" w14:paraId="000000D7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Assinaturas </w:t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240" w:before="240" w:lineRule="auto"/>
        <w:ind w:left="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ORIENTAÇÕES:</w:t>
      </w:r>
    </w:p>
    <w:p w:rsidR="00000000" w:rsidDel="00000000" w:rsidP="00000000" w:rsidRDefault="00000000" w:rsidRPr="00000000" w14:paraId="000000DC">
      <w:pPr>
        <w:spacing w:after="240" w:before="240" w:lineRule="auto"/>
        <w:ind w:left="8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 gerenciamento de riscos permite ações contínuas de planejamento, organização e controle dos recursos relacionados aos riscos que possam comprometer o sucesso da contratação, da execução do objeto e da gestão contratual. O Mapa de Gerenciamento de Riscos deve conter a identificação e a análise dos principais riscos, consistindo na compreensão da natureza e determinação do nível de risco, que corresponde à combinação do impacto e de suas probabilidades que possam comprometer a efetividade da contratação, bem como o alcance dos resultados pretendidos.  </w:t>
      </w:r>
    </w:p>
    <w:p w:rsidR="00000000" w:rsidDel="00000000" w:rsidP="00000000" w:rsidRDefault="00000000" w:rsidRPr="00000000" w14:paraId="000000DD">
      <w:pPr>
        <w:spacing w:after="240" w:before="240" w:lineRule="auto"/>
        <w:ind w:left="8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Para cada risco identificado, define-se: a probabilidade de ocorrência dos eventos, os possíveis danos e impacto caso o risco ocorra, possíveis ações preventivas e de contingência (respostas aos riscos), a identificação de responsáveis pelas ações, bem como o registro e o acompanhamento das ações de tratamento dos riscos. Parâmetros escalares podem ser utilizados para representar os níveis de probabilidade e impacto que, após a multiplicação, resultarão nos níveis de risco, que direcionarão as ações relacionadas aos riscos durante as fases de planejamento, estudos técnicos preliminares, termo de referência, seleção de fornecedor e gestão do contrato. </w:t>
      </w:r>
    </w:p>
    <w:p w:rsidR="00000000" w:rsidDel="00000000" w:rsidP="00000000" w:rsidRDefault="00000000" w:rsidRPr="00000000" w14:paraId="000000DE">
      <w:pPr>
        <w:spacing w:after="240" w:before="240" w:lineRule="auto"/>
        <w:ind w:left="8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Obs: Este é apenas um modelo, com algumas sugestões de possíveis riscos e ações mitigadoras, que deverá ser incorporado a cada contratação! deverão ser levantados possíveis riscos de acordo com a situação.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240" w:before="240" w:lineRule="auto"/>
        <w:ind w:left="8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Deverá ser assinado pela equipe de planejamento da contratação e aprovado pela autoridade competente!</w:t>
      </w:r>
    </w:p>
    <w:p w:rsidR="00000000" w:rsidDel="00000000" w:rsidP="00000000" w:rsidRDefault="00000000" w:rsidRPr="00000000" w14:paraId="000000E0">
      <w:pPr>
        <w:spacing w:after="240" w:before="240" w:lineRule="auto"/>
        <w:ind w:left="8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120" w:line="276" w:lineRule="auto"/>
        <w:ind w:right="-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E2">
      <w:pPr>
        <w:ind w:left="-566.9291338582677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.0000000000002" w:top="1440.0000000000002" w:left="1417.3228346456694" w:right="1417.322834645669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Verdan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1"/>
      <w:keepLines w:val="0"/>
      <w:pageBreakBefore w:val="0"/>
      <w:widowControl w:val="1"/>
      <w:spacing w:after="0" w:before="0" w:line="240" w:lineRule="auto"/>
      <w:ind w:left="-708.6614173228347" w:right="-1114.7244094488178" w:firstLine="0"/>
      <w:jc w:val="center"/>
      <w:rPr>
        <w:rFonts w:ascii="Calibri" w:cs="Calibri" w:eastAsia="Calibri" w:hAnsi="Calibri"/>
        <w:b w:val="1"/>
        <w:color w:val="434343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1"/>
      <w:keepLines w:val="0"/>
      <w:pageBreakBefore w:val="0"/>
      <w:widowControl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434343"/>
        <w:sz w:val="24"/>
        <w:szCs w:val="24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34343"/>
        <w:sz w:val="24"/>
        <w:szCs w:val="24"/>
        <w:u w:val="none"/>
        <w:vertAlign w:val="baseline"/>
        <w:rtl w:val="0"/>
      </w:rPr>
      <w:t xml:space="preserve">BALNEÁRIO CAMBORIÚ- CAPITAL CATARINENSE DO TURISMO</w:t>
    </w:r>
  </w:p>
  <w:p w:rsidR="00000000" w:rsidDel="00000000" w:rsidP="00000000" w:rsidRDefault="00000000" w:rsidRPr="00000000" w14:paraId="000000ED">
    <w:pPr>
      <w:keepNext w:val="1"/>
      <w:keepLines w:val="0"/>
      <w:pageBreakBefore w:val="0"/>
      <w:widowControl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color w:val="434343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color w:val="434343"/>
        <w:sz w:val="18"/>
        <w:szCs w:val="18"/>
        <w:rtl w:val="0"/>
      </w:rPr>
      <w:t xml:space="preserve">4a Avenida, nº 250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34343"/>
        <w:sz w:val="18"/>
        <w:szCs w:val="18"/>
        <w:u w:val="none"/>
        <w:vertAlign w:val="baseline"/>
        <w:rtl w:val="0"/>
      </w:rPr>
      <w:t xml:space="preserve"> |</w:t>
    </w:r>
    <w:r w:rsidDel="00000000" w:rsidR="00000000" w:rsidRPr="00000000">
      <w:rPr>
        <w:rFonts w:ascii="Calibri" w:cs="Calibri" w:eastAsia="Calibri" w:hAnsi="Calibri"/>
        <w:b w:val="1"/>
        <w:color w:val="434343"/>
        <w:sz w:val="18"/>
        <w:szCs w:val="18"/>
        <w:rtl w:val="0"/>
      </w:rPr>
      <w:t xml:space="preserve"> Centro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34343"/>
        <w:sz w:val="18"/>
        <w:szCs w:val="18"/>
        <w:u w:val="none"/>
        <w:vertAlign w:val="baseline"/>
        <w:rtl w:val="0"/>
      </w:rPr>
      <w:t xml:space="preserve"> - </w:t>
    </w:r>
    <w:r w:rsidDel="00000000" w:rsidR="00000000" w:rsidRPr="00000000">
      <w:rPr>
        <w:rFonts w:ascii="Calibri" w:cs="Calibri" w:eastAsia="Calibri" w:hAnsi="Calibri"/>
        <w:b w:val="1"/>
        <w:color w:val="434343"/>
        <w:sz w:val="18"/>
        <w:szCs w:val="18"/>
        <w:rtl w:val="0"/>
      </w:rPr>
      <w:t xml:space="preserve">BC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34343"/>
        <w:sz w:val="18"/>
        <w:szCs w:val="18"/>
        <w:u w:val="none"/>
        <w:vertAlign w:val="baseline"/>
        <w:rtl w:val="0"/>
      </w:rPr>
      <w:t xml:space="preserve"> | Cep 88.33</w:t>
    </w:r>
    <w:r w:rsidDel="00000000" w:rsidR="00000000" w:rsidRPr="00000000">
      <w:rPr>
        <w:rFonts w:ascii="Calibri" w:cs="Calibri" w:eastAsia="Calibri" w:hAnsi="Calibri"/>
        <w:b w:val="1"/>
        <w:color w:val="434343"/>
        <w:sz w:val="18"/>
        <w:szCs w:val="18"/>
        <w:rtl w:val="0"/>
      </w:rPr>
      <w:t xml:space="preserve">0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34343"/>
        <w:sz w:val="18"/>
        <w:szCs w:val="18"/>
        <w:u w:val="none"/>
        <w:vertAlign w:val="baseline"/>
        <w:rtl w:val="0"/>
      </w:rPr>
      <w:t xml:space="preserve">-</w:t>
    </w:r>
    <w:r w:rsidDel="00000000" w:rsidR="00000000" w:rsidRPr="00000000">
      <w:rPr>
        <w:rFonts w:ascii="Calibri" w:cs="Calibri" w:eastAsia="Calibri" w:hAnsi="Calibri"/>
        <w:b w:val="1"/>
        <w:color w:val="434343"/>
        <w:sz w:val="18"/>
        <w:szCs w:val="18"/>
        <w:rtl w:val="0"/>
      </w:rPr>
      <w:t xml:space="preserve">104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34343"/>
        <w:sz w:val="18"/>
        <w:szCs w:val="18"/>
        <w:u w:val="none"/>
        <w:vertAlign w:val="baseline"/>
        <w:rtl w:val="0"/>
      </w:rPr>
      <w:t xml:space="preserve"> | Fone: +55 </w:t>
    </w:r>
    <w:r w:rsidDel="00000000" w:rsidR="00000000" w:rsidRPr="00000000">
      <w:rPr>
        <w:rFonts w:ascii="Calibri" w:cs="Calibri" w:eastAsia="Calibri" w:hAnsi="Calibri"/>
        <w:b w:val="1"/>
        <w:color w:val="434343"/>
        <w:sz w:val="18"/>
        <w:szCs w:val="18"/>
        <w:rtl w:val="0"/>
      </w:rPr>
      <w:t xml:space="preserve">47 3261-0000</w:t>
    </w:r>
  </w:p>
  <w:p w:rsidR="00000000" w:rsidDel="00000000" w:rsidP="00000000" w:rsidRDefault="00000000" w:rsidRPr="00000000" w14:paraId="000000EE">
    <w:pPr>
      <w:keepNext w:val="1"/>
      <w:keepLines w:val="0"/>
      <w:pageBreakBefore w:val="0"/>
      <w:widowControl w:val="1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color w:val="434343"/>
        <w:sz w:val="18"/>
        <w:szCs w:val="18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34343"/>
        <w:sz w:val="18"/>
        <w:szCs w:val="18"/>
        <w:u w:val="none"/>
        <w:vertAlign w:val="baseline"/>
        <w:rtl w:val="0"/>
      </w:rPr>
      <w:t xml:space="preserve"> </w:t>
    </w: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155cc"/>
          <w:sz w:val="18"/>
          <w:szCs w:val="18"/>
          <w:u w:val="single"/>
          <w:vertAlign w:val="baseline"/>
          <w:rtl w:val="0"/>
        </w:rPr>
        <w:t xml:space="preserve">www.bc.sc.gov.br</w:t>
      </w:r>
    </w:hyperlink>
    <w:r w:rsidDel="00000000" w:rsidR="00000000" w:rsidRPr="00000000">
      <w:rPr>
        <w:rFonts w:ascii="Calibri" w:cs="Calibri" w:eastAsia="Calibri" w:hAnsi="Calibri"/>
        <w:b w:val="1"/>
        <w:color w:val="434343"/>
        <w:sz w:val="18"/>
        <w:szCs w:val="18"/>
        <w:rtl w:val="0"/>
      </w:rPr>
      <w:t xml:space="preserve"> |</w:t>
    </w:r>
    <w:hyperlink r:id="rId2">
      <w:r w:rsidDel="00000000" w:rsidR="00000000" w:rsidRPr="00000000">
        <w:rPr>
          <w:rFonts w:ascii="Calibri" w:cs="Calibri" w:eastAsia="Calibri" w:hAnsi="Calibri"/>
          <w:b w:val="1"/>
          <w:color w:val="1155cc"/>
          <w:sz w:val="18"/>
          <w:szCs w:val="18"/>
          <w:u w:val="single"/>
          <w:rtl w:val="0"/>
        </w:rPr>
        <w:t xml:space="preserve"> www.emasa.com.br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keepNext w:val="1"/>
      <w:keepLines w:val="0"/>
      <w:pageBreakBefore w:val="0"/>
      <w:widowControl w:val="0"/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7"/>
      <w:tblW w:w="10815.0" w:type="dxa"/>
      <w:jc w:val="left"/>
      <w:tblInd w:w="-738.0" w:type="dxa"/>
      <w:tblBorders>
        <w:top w:color="000001" w:space="0" w:sz="8" w:val="single"/>
        <w:left w:color="000001" w:space="0" w:sz="8" w:val="single"/>
        <w:bottom w:color="000001" w:space="0" w:sz="8" w:val="single"/>
        <w:right w:color="000001" w:space="0" w:sz="8" w:val="single"/>
        <w:insideH w:color="000001" w:space="0" w:sz="8" w:val="single"/>
        <w:insideV w:color="000001" w:space="0" w:sz="8" w:val="single"/>
      </w:tblBorders>
      <w:tblLayout w:type="fixed"/>
      <w:tblLook w:val="0000"/>
    </w:tblPr>
    <w:tblGrid>
      <w:gridCol w:w="6300"/>
      <w:gridCol w:w="4515"/>
      <w:tblGridChange w:id="0">
        <w:tblGrid>
          <w:gridCol w:w="6300"/>
          <w:gridCol w:w="4515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000000" w:space="0" w:sz="8" w:val="single"/>
            <w:right w:color="ffffff" w:space="0" w:sz="8" w:val="single"/>
          </w:tcBorders>
          <w:shd w:fill="ffffff" w:val="clear"/>
          <w:tcMar>
            <w:left w:w="51.0" w:type="dxa"/>
          </w:tcMar>
        </w:tcPr>
        <w:p w:rsidR="00000000" w:rsidDel="00000000" w:rsidP="00000000" w:rsidRDefault="00000000" w:rsidRPr="00000000" w14:paraId="000000E4">
          <w:pPr>
            <w:pStyle w:val="Heading2"/>
            <w:pageBreakBefore w:val="0"/>
            <w:tabs>
              <w:tab w:val="left" w:leader="none" w:pos="0"/>
            </w:tabs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5">
          <w:pPr>
            <w:pStyle w:val="Heading2"/>
            <w:pageBreakBefore w:val="0"/>
            <w:tabs>
              <w:tab w:val="left" w:leader="none" w:pos="0"/>
            </w:tabs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Fonts w:ascii="Calibri" w:cs="Calibri" w:eastAsia="Calibri" w:hAnsi="Calibri"/>
              <w:sz w:val="24"/>
              <w:szCs w:val="24"/>
              <w:rtl w:val="0"/>
            </w:rPr>
            <w:t xml:space="preserve">ESTADO DE SANTA CATARINA</w:t>
          </w:r>
        </w:p>
        <w:p w:rsidR="00000000" w:rsidDel="00000000" w:rsidP="00000000" w:rsidRDefault="00000000" w:rsidRPr="00000000" w14:paraId="000000E6">
          <w:pPr>
            <w:pageBreakBefore w:val="0"/>
            <w:tabs>
              <w:tab w:val="left" w:leader="none" w:pos="0"/>
            </w:tabs>
            <w:rPr>
              <w:rFonts w:ascii="Calibri" w:cs="Calibri" w:eastAsia="Calibri" w:hAnsi="Calibri"/>
              <w:b w:val="1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Município de Balneário </w:t>
          </w:r>
        </w:p>
        <w:p w:rsidR="00000000" w:rsidDel="00000000" w:rsidP="00000000" w:rsidRDefault="00000000" w:rsidRPr="00000000" w14:paraId="000000E7">
          <w:pPr>
            <w:pageBreakBefore w:val="0"/>
            <w:tabs>
              <w:tab w:val="left" w:leader="none" w:pos="0"/>
            </w:tabs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rtl w:val="0"/>
            </w:rPr>
            <w:t xml:space="preserve">Empresa Municipal de Água e Saneamento de Balneário Camboriú - EMASA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000000" w:space="0" w:sz="8" w:val="single"/>
            <w:right w:color="ffffff" w:space="0" w:sz="8" w:val="single"/>
          </w:tcBorders>
          <w:shd w:fill="ffffff" w:val="clear"/>
          <w:tcMar>
            <w:left w:w="51.0" w:type="dxa"/>
          </w:tcMar>
        </w:tcPr>
        <w:p w:rsidR="00000000" w:rsidDel="00000000" w:rsidP="00000000" w:rsidRDefault="00000000" w:rsidRPr="00000000" w14:paraId="000000E8">
          <w:pPr>
            <w:pageBreakBefore w:val="0"/>
            <w:jc w:val="center"/>
            <w:rPr/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E9">
          <w:pPr>
            <w:pageBreakBefore w:val="0"/>
            <w:jc w:val="center"/>
            <w:rPr>
              <w:rFonts w:ascii="Calibri" w:cs="Calibri" w:eastAsia="Calibri" w:hAnsi="Calibri"/>
              <w:b w:val="1"/>
              <w:sz w:val="20"/>
              <w:szCs w:val="2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933688" cy="656554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3688" cy="6565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A">
    <w:pPr>
      <w:keepNext w:val="1"/>
      <w:keepLines w:val="0"/>
      <w:pageBreakBefore w:val="0"/>
      <w:widowControl w:val="1"/>
      <w:spacing w:after="0" w:before="0" w:line="240" w:lineRule="auto"/>
      <w:ind w:left="0" w:right="0" w:firstLine="0"/>
      <w:jc w:val="left"/>
      <w:rPr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keepNext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0"/>
        <w:tab w:val="left" w:leader="none" w:pos="851"/>
        <w:tab w:val="left" w:leader="none" w:pos="1701"/>
        <w:tab w:val="left" w:leader="none" w:pos="2552"/>
        <w:tab w:val="left" w:leader="none" w:pos="3403"/>
        <w:tab w:val="left" w:leader="none" w:pos="4254"/>
        <w:tab w:val="left" w:leader="none" w:pos="5105"/>
        <w:tab w:val="left" w:leader="none" w:pos="5955"/>
        <w:tab w:val="left" w:leader="none" w:pos="6806"/>
        <w:tab w:val="left" w:leader="none" w:pos="7657"/>
        <w:tab w:val="left" w:leader="none" w:pos="8508"/>
        <w:tab w:val="left" w:leader="none" w:pos="9359"/>
        <w:tab w:val="left" w:leader="none" w:pos="10209"/>
        <w:tab w:val="left" w:leader="none" w:pos="11060"/>
        <w:tab w:val="left" w:leader="none" w:pos="11911"/>
        <w:tab w:val="left" w:leader="none" w:pos="12762"/>
        <w:tab w:val="left" w:leader="none" w:pos="13613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Verdana" w:cs="Verdana" w:eastAsia="Verdana" w:hAnsi="Verdana"/>
      <w:b w:val="1"/>
      <w:i w:val="0"/>
      <w:smallCaps w:val="0"/>
      <w:strike w:val="0"/>
      <w:color w:val="000000"/>
      <w:sz w:val="56"/>
      <w:szCs w:val="56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60" w:line="240" w:lineRule="auto"/>
      <w:ind w:left="0" w:right="0" w:firstLine="0"/>
      <w:jc w:val="center"/>
    </w:pPr>
    <w:rPr>
      <w:rFonts w:ascii="Verdana" w:cs="Verdana" w:eastAsia="Verdana" w:hAnsi="Verdana"/>
      <w:b w:val="0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51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lneariocamboriu.sc.gov.br/" TargetMode="External"/><Relationship Id="rId2" Type="http://schemas.openxmlformats.org/officeDocument/2006/relationships/hyperlink" Target="http://www.emasa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